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4AAC" w:rsidRDefault="00334AAC" w:rsidP="000503AE">
      <w:pPr>
        <w:shd w:val="clear" w:color="auto" w:fill="FFFFFF"/>
        <w:spacing w:after="0" w:line="480" w:lineRule="auto"/>
        <w:jc w:val="center"/>
        <w:rPr>
          <w:rFonts w:ascii="Times New Roman" w:eastAsia="Times New Roman" w:hAnsi="Times New Roman" w:cs="Times New Roman"/>
          <w:sz w:val="24"/>
          <w:szCs w:val="24"/>
        </w:rPr>
      </w:pPr>
    </w:p>
    <w:p w:rsidR="00334AAC" w:rsidRDefault="00334AAC" w:rsidP="000503AE">
      <w:pPr>
        <w:shd w:val="clear" w:color="auto" w:fill="FFFFFF"/>
        <w:spacing w:after="0" w:line="480" w:lineRule="auto"/>
        <w:jc w:val="center"/>
        <w:rPr>
          <w:rFonts w:ascii="Times New Roman" w:eastAsia="Times New Roman" w:hAnsi="Times New Roman" w:cs="Times New Roman"/>
          <w:sz w:val="24"/>
          <w:szCs w:val="24"/>
        </w:rPr>
      </w:pPr>
    </w:p>
    <w:p w:rsidR="00334AAC" w:rsidRDefault="00334AAC" w:rsidP="000503AE">
      <w:pPr>
        <w:shd w:val="clear" w:color="auto" w:fill="FFFFFF"/>
        <w:spacing w:after="0" w:line="480" w:lineRule="auto"/>
        <w:jc w:val="center"/>
        <w:rPr>
          <w:rFonts w:ascii="Times New Roman" w:eastAsia="Times New Roman" w:hAnsi="Times New Roman" w:cs="Times New Roman"/>
          <w:sz w:val="24"/>
          <w:szCs w:val="24"/>
        </w:rPr>
      </w:pPr>
    </w:p>
    <w:p w:rsidR="00334AAC" w:rsidRDefault="00334AAC" w:rsidP="000503AE">
      <w:pPr>
        <w:shd w:val="clear" w:color="auto" w:fill="FFFFFF"/>
        <w:spacing w:after="0" w:line="480" w:lineRule="auto"/>
        <w:jc w:val="center"/>
        <w:rPr>
          <w:rFonts w:ascii="Times New Roman" w:eastAsia="Times New Roman" w:hAnsi="Times New Roman" w:cs="Times New Roman"/>
          <w:sz w:val="24"/>
          <w:szCs w:val="24"/>
        </w:rPr>
      </w:pPr>
    </w:p>
    <w:p w:rsidR="00334AAC" w:rsidRDefault="00334AAC" w:rsidP="000503AE">
      <w:pPr>
        <w:shd w:val="clear" w:color="auto" w:fill="FFFFFF"/>
        <w:spacing w:after="0" w:line="480" w:lineRule="auto"/>
        <w:jc w:val="center"/>
        <w:rPr>
          <w:rFonts w:ascii="Times New Roman" w:eastAsia="Times New Roman" w:hAnsi="Times New Roman" w:cs="Times New Roman"/>
          <w:sz w:val="24"/>
          <w:szCs w:val="24"/>
        </w:rPr>
      </w:pPr>
    </w:p>
    <w:p w:rsidR="00334AAC" w:rsidRDefault="00334AAC" w:rsidP="000503AE">
      <w:pPr>
        <w:shd w:val="clear" w:color="auto" w:fill="FFFFFF"/>
        <w:spacing w:after="0" w:line="480" w:lineRule="auto"/>
        <w:jc w:val="center"/>
        <w:rPr>
          <w:rFonts w:ascii="Times New Roman" w:eastAsia="Times New Roman" w:hAnsi="Times New Roman" w:cs="Times New Roman"/>
          <w:sz w:val="24"/>
          <w:szCs w:val="24"/>
        </w:rPr>
      </w:pPr>
    </w:p>
    <w:p w:rsidR="00334AAC" w:rsidRDefault="00334AAC" w:rsidP="000503AE">
      <w:pPr>
        <w:shd w:val="clear" w:color="auto" w:fill="FFFFFF"/>
        <w:spacing w:after="0" w:line="480" w:lineRule="auto"/>
        <w:jc w:val="center"/>
        <w:rPr>
          <w:rFonts w:ascii="Times New Roman" w:eastAsia="Times New Roman" w:hAnsi="Times New Roman" w:cs="Times New Roman"/>
          <w:sz w:val="24"/>
          <w:szCs w:val="24"/>
        </w:rPr>
      </w:pPr>
    </w:p>
    <w:p w:rsidR="00334AAC" w:rsidRDefault="00334AAC" w:rsidP="000503AE">
      <w:pPr>
        <w:shd w:val="clear" w:color="auto" w:fill="FFFFFF"/>
        <w:spacing w:after="0" w:line="480" w:lineRule="auto"/>
        <w:jc w:val="center"/>
        <w:rPr>
          <w:rFonts w:ascii="Times New Roman" w:eastAsia="Times New Roman" w:hAnsi="Times New Roman" w:cs="Times New Roman"/>
          <w:sz w:val="24"/>
          <w:szCs w:val="24"/>
        </w:rPr>
      </w:pPr>
    </w:p>
    <w:p w:rsidR="00334AAC" w:rsidRDefault="00334AAC" w:rsidP="000503AE">
      <w:pPr>
        <w:shd w:val="clear" w:color="auto" w:fill="FFFFFF"/>
        <w:spacing w:after="0" w:line="480" w:lineRule="auto"/>
        <w:jc w:val="center"/>
        <w:rPr>
          <w:rFonts w:ascii="Times New Roman" w:eastAsia="Times New Roman" w:hAnsi="Times New Roman" w:cs="Times New Roman"/>
          <w:sz w:val="24"/>
          <w:szCs w:val="24"/>
        </w:rPr>
      </w:pPr>
    </w:p>
    <w:p w:rsidR="00334AAC" w:rsidRDefault="00334AAC" w:rsidP="000503AE">
      <w:pPr>
        <w:shd w:val="clear" w:color="auto" w:fill="FFFFFF"/>
        <w:spacing w:after="0" w:line="480" w:lineRule="auto"/>
        <w:jc w:val="center"/>
        <w:rPr>
          <w:rFonts w:ascii="Times New Roman" w:eastAsia="Times New Roman" w:hAnsi="Times New Roman" w:cs="Times New Roman"/>
          <w:sz w:val="24"/>
          <w:szCs w:val="24"/>
        </w:rPr>
      </w:pPr>
    </w:p>
    <w:p w:rsidR="00334AAC" w:rsidRDefault="00334AAC" w:rsidP="000503AE">
      <w:pPr>
        <w:shd w:val="clear" w:color="auto" w:fill="FFFFFF"/>
        <w:spacing w:after="0" w:line="480" w:lineRule="auto"/>
        <w:jc w:val="center"/>
        <w:rPr>
          <w:rFonts w:ascii="Times New Roman" w:eastAsia="Times New Roman" w:hAnsi="Times New Roman" w:cs="Times New Roman"/>
          <w:sz w:val="24"/>
          <w:szCs w:val="24"/>
        </w:rPr>
      </w:pPr>
    </w:p>
    <w:p w:rsidR="00B55668" w:rsidRDefault="00B55668" w:rsidP="000503AE">
      <w:pPr>
        <w:shd w:val="clear" w:color="auto" w:fill="FFFFFF"/>
        <w:spacing w:after="0" w:line="480" w:lineRule="auto"/>
        <w:jc w:val="center"/>
        <w:rPr>
          <w:rFonts w:ascii="Times New Roman" w:eastAsia="Times New Roman" w:hAnsi="Times New Roman" w:cs="Times New Roman"/>
          <w:sz w:val="24"/>
          <w:szCs w:val="24"/>
        </w:rPr>
      </w:pPr>
      <w:r w:rsidRPr="00B55668">
        <w:rPr>
          <w:rFonts w:ascii="Times New Roman" w:eastAsia="Times New Roman" w:hAnsi="Times New Roman" w:cs="Times New Roman"/>
          <w:sz w:val="24"/>
          <w:szCs w:val="24"/>
        </w:rPr>
        <w:t>Case brief of Faragher v. City of Boca Raton, 524 U.S. 775 (1998)</w:t>
      </w:r>
    </w:p>
    <w:p w:rsidR="00334AAC" w:rsidRDefault="00334AAC" w:rsidP="000503AE">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334AAC" w:rsidRDefault="00334AAC" w:rsidP="000503AE">
      <w:pPr>
        <w:shd w:val="clear" w:color="auto" w:fill="FFFFFF"/>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Institutional affiliation</w:t>
      </w:r>
      <w:r>
        <w:rPr>
          <w:rFonts w:ascii="Times New Roman" w:eastAsia="Times New Roman" w:hAnsi="Times New Roman" w:cs="Times New Roman"/>
          <w:sz w:val="24"/>
          <w:szCs w:val="24"/>
        </w:rPr>
        <w:br/>
      </w:r>
    </w:p>
    <w:p w:rsidR="00334AAC" w:rsidRDefault="00334AAC" w:rsidP="000503A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B55668" w:rsidRPr="00334AAC" w:rsidRDefault="00B55668" w:rsidP="000503AE">
      <w:pPr>
        <w:shd w:val="clear" w:color="auto" w:fill="FFFFFF"/>
        <w:spacing w:after="0" w:line="480" w:lineRule="auto"/>
        <w:rPr>
          <w:rFonts w:ascii="Times New Roman" w:eastAsia="Times New Roman" w:hAnsi="Times New Roman" w:cs="Times New Roman"/>
          <w:b/>
          <w:sz w:val="24"/>
          <w:szCs w:val="24"/>
        </w:rPr>
      </w:pPr>
      <w:r w:rsidRPr="00334AAC">
        <w:rPr>
          <w:rFonts w:ascii="Times New Roman" w:eastAsia="Times New Roman" w:hAnsi="Times New Roman" w:cs="Times New Roman"/>
          <w:b/>
          <w:sz w:val="24"/>
          <w:szCs w:val="24"/>
        </w:rPr>
        <w:lastRenderedPageBreak/>
        <w:t>Case:</w:t>
      </w:r>
    </w:p>
    <w:p w:rsidR="00B55668" w:rsidRPr="00334AAC" w:rsidRDefault="00B55668" w:rsidP="000503AE">
      <w:pPr>
        <w:shd w:val="clear" w:color="auto" w:fill="FFFFFF"/>
        <w:spacing w:after="0" w:line="480" w:lineRule="auto"/>
        <w:ind w:firstLine="720"/>
        <w:rPr>
          <w:rFonts w:ascii="Times New Roman" w:eastAsia="Times New Roman" w:hAnsi="Times New Roman" w:cs="Times New Roman"/>
          <w:sz w:val="24"/>
          <w:szCs w:val="24"/>
        </w:rPr>
      </w:pPr>
      <w:r w:rsidRPr="00B55668">
        <w:rPr>
          <w:rFonts w:ascii="Times New Roman" w:eastAsia="Times New Roman" w:hAnsi="Times New Roman" w:cs="Times New Roman"/>
          <w:sz w:val="24"/>
          <w:szCs w:val="24"/>
        </w:rPr>
        <w:t>Faragher v. City of Boca Raton, 524 U.S. 775 (1998)</w:t>
      </w:r>
    </w:p>
    <w:p w:rsidR="00B55668" w:rsidRPr="00334AAC" w:rsidRDefault="00B55668" w:rsidP="000503AE">
      <w:pPr>
        <w:shd w:val="clear" w:color="auto" w:fill="FFFFFF"/>
        <w:spacing w:after="0" w:line="480" w:lineRule="auto"/>
        <w:ind w:firstLine="720"/>
        <w:rPr>
          <w:rFonts w:ascii="Times New Roman" w:eastAsia="Times New Roman" w:hAnsi="Times New Roman" w:cs="Times New Roman"/>
          <w:sz w:val="24"/>
          <w:szCs w:val="24"/>
        </w:rPr>
      </w:pPr>
    </w:p>
    <w:p w:rsidR="00B55668" w:rsidRPr="00334AAC" w:rsidRDefault="00B55668" w:rsidP="000503AE">
      <w:pPr>
        <w:shd w:val="clear" w:color="auto" w:fill="FFFFFF"/>
        <w:spacing w:after="0" w:line="480" w:lineRule="auto"/>
        <w:rPr>
          <w:rFonts w:ascii="Times New Roman" w:eastAsia="Times New Roman" w:hAnsi="Times New Roman" w:cs="Times New Roman"/>
          <w:b/>
          <w:sz w:val="24"/>
          <w:szCs w:val="24"/>
        </w:rPr>
      </w:pPr>
      <w:r w:rsidRPr="00334AAC">
        <w:rPr>
          <w:rFonts w:ascii="Times New Roman" w:eastAsia="Times New Roman" w:hAnsi="Times New Roman" w:cs="Times New Roman"/>
          <w:b/>
          <w:sz w:val="24"/>
          <w:szCs w:val="24"/>
        </w:rPr>
        <w:t>Facts:</w:t>
      </w:r>
    </w:p>
    <w:p w:rsidR="00E9292E" w:rsidRPr="00334AAC" w:rsidRDefault="00EC6BB6" w:rsidP="000503AE">
      <w:pPr>
        <w:shd w:val="clear" w:color="auto" w:fill="FFFFFF"/>
        <w:spacing w:after="0" w:line="480" w:lineRule="auto"/>
        <w:ind w:firstLine="720"/>
        <w:rPr>
          <w:rFonts w:ascii="Times New Roman" w:eastAsia="Times New Roman" w:hAnsi="Times New Roman" w:cs="Times New Roman"/>
          <w:sz w:val="24"/>
          <w:szCs w:val="24"/>
        </w:rPr>
      </w:pPr>
      <w:r w:rsidRPr="00334AAC">
        <w:rPr>
          <w:rFonts w:ascii="Times New Roman" w:eastAsia="Times New Roman" w:hAnsi="Times New Roman" w:cs="Times New Roman"/>
          <w:sz w:val="24"/>
          <w:szCs w:val="24"/>
        </w:rPr>
        <w:t xml:space="preserve">Beth Ann Faragher worked as a lifeguard for the city of Boca Raton, Florida during part time and summers between 1985 and 1990. Out of the 50 lifeguards, 10% were women. The immediate two lifeguard supervisors were men, who allegedly made lewd gestures and offensive sexual remarks and touch women inappropriately while asking for sex. Faragher claimed the conduct created discrimination in violation of </w:t>
      </w:r>
      <w:r w:rsidR="00E9292E" w:rsidRPr="00334AAC">
        <w:rPr>
          <w:rFonts w:ascii="Times New Roman" w:eastAsia="Times New Roman" w:hAnsi="Times New Roman" w:cs="Times New Roman"/>
          <w:sz w:val="24"/>
          <w:szCs w:val="24"/>
        </w:rPr>
        <w:t>Title VII of the Civil Rights Act of 1964, Section 1983 and Florida Civil Rights Laws.</w:t>
      </w:r>
    </w:p>
    <w:p w:rsidR="00B55668" w:rsidRPr="00334AAC" w:rsidRDefault="00E9292E" w:rsidP="000503AE">
      <w:pPr>
        <w:shd w:val="clear" w:color="auto" w:fill="FFFFFF"/>
        <w:spacing w:after="0" w:line="480" w:lineRule="auto"/>
        <w:ind w:firstLine="720"/>
        <w:rPr>
          <w:rFonts w:ascii="Times New Roman" w:eastAsia="Times New Roman" w:hAnsi="Times New Roman" w:cs="Times New Roman"/>
          <w:sz w:val="24"/>
          <w:szCs w:val="24"/>
        </w:rPr>
      </w:pPr>
      <w:r w:rsidRPr="00334AAC">
        <w:rPr>
          <w:rFonts w:ascii="Times New Roman" w:eastAsia="Times New Roman" w:hAnsi="Times New Roman" w:cs="Times New Roman"/>
          <w:sz w:val="24"/>
          <w:szCs w:val="24"/>
        </w:rPr>
        <w:t xml:space="preserve">The district court held that the two supervisors conduct was adequately discriminatory to constitute an abusive working environment and alter her employment conditions. The court concluded that the city was liable for the harassment acts. </w:t>
      </w:r>
    </w:p>
    <w:p w:rsidR="00E9292E" w:rsidRPr="00334AAC" w:rsidRDefault="00E9292E" w:rsidP="000503AE">
      <w:pPr>
        <w:shd w:val="clear" w:color="auto" w:fill="FFFFFF"/>
        <w:spacing w:after="0" w:line="480" w:lineRule="auto"/>
        <w:ind w:firstLine="720"/>
        <w:rPr>
          <w:rFonts w:ascii="Times New Roman" w:eastAsia="Times New Roman" w:hAnsi="Times New Roman" w:cs="Times New Roman"/>
          <w:sz w:val="24"/>
          <w:szCs w:val="24"/>
        </w:rPr>
      </w:pPr>
      <w:r w:rsidRPr="00334AAC">
        <w:rPr>
          <w:rFonts w:ascii="Times New Roman" w:eastAsia="Times New Roman" w:hAnsi="Times New Roman" w:cs="Times New Roman"/>
          <w:sz w:val="24"/>
          <w:szCs w:val="24"/>
        </w:rPr>
        <w:t xml:space="preserve">In reversing, the Eleventh Circuit held that city could not be held liable for negligence, and that Faragher’s supervisors at the time did not act within the scope of employment when they engaged in harassment, </w:t>
      </w:r>
      <w:r w:rsidR="00464FFF" w:rsidRPr="00334AAC">
        <w:rPr>
          <w:rFonts w:ascii="Times New Roman" w:eastAsia="Times New Roman" w:hAnsi="Times New Roman" w:cs="Times New Roman"/>
          <w:sz w:val="24"/>
          <w:szCs w:val="24"/>
        </w:rPr>
        <w:t>thus,</w:t>
      </w:r>
      <w:r w:rsidRPr="00334AAC">
        <w:rPr>
          <w:rFonts w:ascii="Times New Roman" w:eastAsia="Times New Roman" w:hAnsi="Times New Roman" w:cs="Times New Roman"/>
          <w:sz w:val="24"/>
          <w:szCs w:val="24"/>
        </w:rPr>
        <w:t xml:space="preserve"> the harassment knowledge could </w:t>
      </w:r>
      <w:r w:rsidR="00464FFF" w:rsidRPr="00334AAC">
        <w:rPr>
          <w:rFonts w:ascii="Times New Roman" w:eastAsia="Times New Roman" w:hAnsi="Times New Roman" w:cs="Times New Roman"/>
          <w:sz w:val="24"/>
          <w:szCs w:val="24"/>
        </w:rPr>
        <w:t>not be imputed to the city.</w:t>
      </w:r>
    </w:p>
    <w:p w:rsidR="00334AAC" w:rsidRDefault="00334AAC" w:rsidP="000503AE">
      <w:pPr>
        <w:shd w:val="clear" w:color="auto" w:fill="FFFFFF"/>
        <w:spacing w:after="0" w:line="480" w:lineRule="auto"/>
        <w:ind w:firstLine="720"/>
        <w:rPr>
          <w:rFonts w:ascii="Times New Roman" w:eastAsia="Times New Roman" w:hAnsi="Times New Roman" w:cs="Times New Roman"/>
          <w:sz w:val="24"/>
          <w:szCs w:val="24"/>
        </w:rPr>
      </w:pPr>
    </w:p>
    <w:p w:rsidR="00464FFF" w:rsidRPr="00334AAC" w:rsidRDefault="00464FFF" w:rsidP="000503AE">
      <w:pPr>
        <w:shd w:val="clear" w:color="auto" w:fill="FFFFFF"/>
        <w:spacing w:after="0" w:line="480" w:lineRule="auto"/>
        <w:rPr>
          <w:rFonts w:ascii="Times New Roman" w:eastAsia="Times New Roman" w:hAnsi="Times New Roman" w:cs="Times New Roman"/>
          <w:b/>
          <w:sz w:val="24"/>
          <w:szCs w:val="24"/>
        </w:rPr>
      </w:pPr>
      <w:r w:rsidRPr="00334AAC">
        <w:rPr>
          <w:rFonts w:ascii="Times New Roman" w:eastAsia="Times New Roman" w:hAnsi="Times New Roman" w:cs="Times New Roman"/>
          <w:b/>
          <w:sz w:val="24"/>
          <w:szCs w:val="24"/>
        </w:rPr>
        <w:t>Issue:</w:t>
      </w:r>
    </w:p>
    <w:p w:rsidR="00464FFF" w:rsidRPr="00334AAC" w:rsidRDefault="00464FFF" w:rsidP="000503AE">
      <w:pPr>
        <w:shd w:val="clear" w:color="auto" w:fill="FFFFFF"/>
        <w:spacing w:after="0" w:line="480" w:lineRule="auto"/>
        <w:ind w:firstLine="720"/>
        <w:rPr>
          <w:rFonts w:ascii="Times New Roman" w:eastAsia="Times New Roman" w:hAnsi="Times New Roman" w:cs="Times New Roman"/>
          <w:sz w:val="24"/>
          <w:szCs w:val="24"/>
        </w:rPr>
      </w:pPr>
      <w:r w:rsidRPr="00334AAC">
        <w:rPr>
          <w:rFonts w:ascii="Times New Roman" w:eastAsia="Times New Roman" w:hAnsi="Times New Roman" w:cs="Times New Roman"/>
          <w:sz w:val="24"/>
          <w:szCs w:val="24"/>
        </w:rPr>
        <w:t xml:space="preserve">Can an employer be held liable under Title VII of the Civil Rights Act of 1964, Section 1983 and Florida Civil Rights Laws for the employee acts whose sexual harassment of subordinates has created an abusive work environment that amounts to employment discrimination? </w:t>
      </w:r>
    </w:p>
    <w:p w:rsidR="00334AAC" w:rsidRDefault="00334AAC" w:rsidP="000503AE">
      <w:pPr>
        <w:shd w:val="clear" w:color="auto" w:fill="FFFFFF"/>
        <w:spacing w:after="0" w:line="480" w:lineRule="auto"/>
        <w:ind w:firstLine="720"/>
        <w:rPr>
          <w:rFonts w:ascii="Times New Roman" w:eastAsia="Times New Roman" w:hAnsi="Times New Roman" w:cs="Times New Roman"/>
          <w:sz w:val="24"/>
          <w:szCs w:val="24"/>
        </w:rPr>
      </w:pPr>
    </w:p>
    <w:p w:rsidR="00464FFF" w:rsidRPr="00334AAC" w:rsidRDefault="00464FFF" w:rsidP="000503AE">
      <w:pPr>
        <w:shd w:val="clear" w:color="auto" w:fill="FFFFFF"/>
        <w:spacing w:after="0" w:line="480" w:lineRule="auto"/>
        <w:rPr>
          <w:rFonts w:ascii="Times New Roman" w:eastAsia="Times New Roman" w:hAnsi="Times New Roman" w:cs="Times New Roman"/>
          <w:b/>
          <w:sz w:val="24"/>
          <w:szCs w:val="24"/>
        </w:rPr>
      </w:pPr>
      <w:r w:rsidRPr="00334AAC">
        <w:rPr>
          <w:rFonts w:ascii="Times New Roman" w:eastAsia="Times New Roman" w:hAnsi="Times New Roman" w:cs="Times New Roman"/>
          <w:b/>
          <w:sz w:val="24"/>
          <w:szCs w:val="24"/>
        </w:rPr>
        <w:t>Holding:</w:t>
      </w:r>
    </w:p>
    <w:p w:rsidR="00334AAC" w:rsidRPr="00334AAC" w:rsidRDefault="00464FFF" w:rsidP="000503AE">
      <w:pPr>
        <w:spacing w:line="480" w:lineRule="auto"/>
        <w:ind w:firstLine="720"/>
        <w:rPr>
          <w:rFonts w:ascii="Times New Roman" w:hAnsi="Times New Roman" w:cs="Times New Roman"/>
          <w:sz w:val="24"/>
          <w:szCs w:val="24"/>
        </w:rPr>
      </w:pPr>
      <w:r w:rsidRPr="00334AAC">
        <w:rPr>
          <w:rFonts w:ascii="Times New Roman" w:eastAsia="Times New Roman" w:hAnsi="Times New Roman" w:cs="Times New Roman"/>
          <w:sz w:val="24"/>
          <w:szCs w:val="24"/>
        </w:rPr>
        <w:t xml:space="preserve">Yes. According to a 7-2 opinion delivered by Justice David H. Souter, the court concluded that an employee is explicitly liable under Title VII of the Civil Rights Act of 1964, Section 1983 </w:t>
      </w:r>
      <w:r w:rsidR="00334AAC" w:rsidRPr="00334AAC">
        <w:rPr>
          <w:rFonts w:ascii="Times New Roman" w:eastAsia="Times New Roman" w:hAnsi="Times New Roman" w:cs="Times New Roman"/>
          <w:sz w:val="24"/>
          <w:szCs w:val="24"/>
        </w:rPr>
        <w:t>for actionable discrimination caused by the supervisor. The court also concluded that such liability is subject to an affirmative defense.</w:t>
      </w:r>
      <w:r w:rsidRPr="00334AAC">
        <w:rPr>
          <w:rFonts w:ascii="Times New Roman" w:eastAsia="Times New Roman" w:hAnsi="Times New Roman" w:cs="Times New Roman"/>
          <w:sz w:val="24"/>
          <w:szCs w:val="24"/>
        </w:rPr>
        <w:t xml:space="preserve"> </w:t>
      </w:r>
      <w:bookmarkStart w:id="0" w:name="_Hlk536857765"/>
      <w:r w:rsidR="00334AAC" w:rsidRPr="00334AAC">
        <w:rPr>
          <w:rFonts w:ascii="Times New Roman" w:hAnsi="Times New Roman" w:cs="Times New Roman"/>
          <w:sz w:val="24"/>
          <w:szCs w:val="24"/>
        </w:rPr>
        <w:t>The Supreme Court stated, “</w:t>
      </w:r>
      <w:r w:rsidR="000503AE" w:rsidRPr="00334AAC">
        <w:rPr>
          <w:rFonts w:ascii="Times New Roman" w:hAnsi="Times New Roman" w:cs="Times New Roman"/>
          <w:sz w:val="24"/>
          <w:szCs w:val="24"/>
        </w:rPr>
        <w:t>We</w:t>
      </w:r>
      <w:r w:rsidR="00334AAC" w:rsidRPr="00334AAC">
        <w:rPr>
          <w:rFonts w:ascii="Times New Roman" w:hAnsi="Times New Roman" w:cs="Times New Roman"/>
          <w:sz w:val="24"/>
          <w:szCs w:val="24"/>
        </w:rPr>
        <w:t xml:space="preserve"> hold that an employer is vicariously liable for actionable discrimination caused by a supervisor but subject to an affirmative defense looking to the reasonableness of the employer’s conduct as well as that of a plaintiff victim” (West Law, p. 8, 1998).</w:t>
      </w:r>
    </w:p>
    <w:bookmarkEnd w:id="0"/>
    <w:p w:rsidR="00464FFF" w:rsidRPr="000503AE" w:rsidRDefault="000503AE" w:rsidP="000503AE">
      <w:pPr>
        <w:shd w:val="clear" w:color="auto" w:fill="FFFFFF"/>
        <w:spacing w:after="0" w:line="480" w:lineRule="auto"/>
        <w:rPr>
          <w:rFonts w:ascii="Times New Roman" w:eastAsia="Times New Roman" w:hAnsi="Times New Roman" w:cs="Times New Roman"/>
          <w:b/>
          <w:sz w:val="24"/>
          <w:szCs w:val="24"/>
        </w:rPr>
      </w:pPr>
      <w:r w:rsidRPr="000503AE">
        <w:rPr>
          <w:rFonts w:ascii="Times New Roman" w:eastAsia="Times New Roman" w:hAnsi="Times New Roman" w:cs="Times New Roman"/>
          <w:b/>
          <w:sz w:val="24"/>
          <w:szCs w:val="24"/>
        </w:rPr>
        <w:t>Reasoning:</w:t>
      </w:r>
    </w:p>
    <w:p w:rsidR="000503AE" w:rsidRPr="00334AAC" w:rsidRDefault="000503AE" w:rsidP="000503AE">
      <w:pPr>
        <w:shd w:val="clear" w:color="auto" w:fill="FFFFFF"/>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light of the analysis, the court was of the opinion that the employer is not liable for their employees’ misconducts. The city also noted that they ought not to be held responsible for the employees’ actions. However, Faragher was of the opinion that she was working for city and so they should be held responsible.</w:t>
      </w:r>
    </w:p>
    <w:sectPr w:rsidR="000503AE" w:rsidRPr="00334AAC" w:rsidSect="000A0BC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61E0" w:rsidRDefault="00C261E0" w:rsidP="000503AE">
      <w:pPr>
        <w:spacing w:after="0" w:line="240" w:lineRule="auto"/>
      </w:pPr>
      <w:r>
        <w:separator/>
      </w:r>
    </w:p>
  </w:endnote>
  <w:endnote w:type="continuationSeparator" w:id="1">
    <w:p w:rsidR="00C261E0" w:rsidRDefault="00C261E0" w:rsidP="000503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61E0" w:rsidRDefault="00C261E0" w:rsidP="000503AE">
      <w:pPr>
        <w:spacing w:after="0" w:line="240" w:lineRule="auto"/>
      </w:pPr>
      <w:r>
        <w:separator/>
      </w:r>
    </w:p>
  </w:footnote>
  <w:footnote w:type="continuationSeparator" w:id="1">
    <w:p w:rsidR="00C261E0" w:rsidRDefault="00C261E0" w:rsidP="000503A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153634"/>
      <w:docPartObj>
        <w:docPartGallery w:val="Page Numbers (Top of Page)"/>
        <w:docPartUnique/>
      </w:docPartObj>
    </w:sdtPr>
    <w:sdtContent>
      <w:p w:rsidR="000503AE" w:rsidRPr="000503AE" w:rsidRDefault="000503AE" w:rsidP="000503AE">
        <w:pPr>
          <w:shd w:val="clear" w:color="auto" w:fill="FFFFFF"/>
          <w:spacing w:after="0" w:line="480" w:lineRule="auto"/>
          <w:jc w:val="center"/>
          <w:rPr>
            <w:rFonts w:ascii="Times New Roman" w:eastAsia="Times New Roman" w:hAnsi="Times New Roman" w:cs="Times New Roman"/>
            <w:sz w:val="24"/>
            <w:szCs w:val="24"/>
          </w:rPr>
        </w:pPr>
        <w:r w:rsidRPr="00B55668">
          <w:rPr>
            <w:rFonts w:ascii="Times New Roman" w:eastAsia="Times New Roman" w:hAnsi="Times New Roman" w:cs="Times New Roman"/>
            <w:sz w:val="24"/>
            <w:szCs w:val="24"/>
          </w:rPr>
          <w:t>Case brief of Faragher v. City of Boca Raton, 524 U.S. 775 (1998)</w:t>
        </w:r>
        <w:r w:rsidRPr="000503AE">
          <w:rPr>
            <w:rFonts w:ascii="Times New Roman" w:eastAsia="Times New Roman" w:hAnsi="Times New Roman" w:cs="Times New Roman"/>
            <w:sz w:val="24"/>
            <w:szCs w:val="24"/>
          </w:rPr>
          <w:t xml:space="preserve">                                  </w:t>
        </w:r>
        <w:r w:rsidR="00D71D70">
          <w:rPr>
            <w:rFonts w:ascii="Times New Roman" w:eastAsia="Times New Roman" w:hAnsi="Times New Roman" w:cs="Times New Roman"/>
            <w:sz w:val="24"/>
            <w:szCs w:val="24"/>
          </w:rPr>
          <w:t xml:space="preserve">      </w:t>
        </w:r>
        <w:r w:rsidRPr="000503AE">
          <w:rPr>
            <w:rFonts w:ascii="Times New Roman" w:eastAsia="Times New Roman" w:hAnsi="Times New Roman" w:cs="Times New Roman"/>
            <w:sz w:val="24"/>
            <w:szCs w:val="24"/>
          </w:rPr>
          <w:t xml:space="preserve">      </w:t>
        </w:r>
        <w:r w:rsidRPr="000503AE">
          <w:rPr>
            <w:rFonts w:ascii="Times New Roman" w:hAnsi="Times New Roman" w:cs="Times New Roman"/>
            <w:sz w:val="24"/>
            <w:szCs w:val="24"/>
          </w:rPr>
          <w:fldChar w:fldCharType="begin"/>
        </w:r>
        <w:r w:rsidRPr="000503AE">
          <w:rPr>
            <w:rFonts w:ascii="Times New Roman" w:hAnsi="Times New Roman" w:cs="Times New Roman"/>
            <w:sz w:val="24"/>
            <w:szCs w:val="24"/>
          </w:rPr>
          <w:instrText xml:space="preserve"> PAGE   \* MERGEFORMAT </w:instrText>
        </w:r>
        <w:r w:rsidRPr="000503AE">
          <w:rPr>
            <w:rFonts w:ascii="Times New Roman" w:hAnsi="Times New Roman" w:cs="Times New Roman"/>
            <w:sz w:val="24"/>
            <w:szCs w:val="24"/>
          </w:rPr>
          <w:fldChar w:fldCharType="separate"/>
        </w:r>
        <w:r w:rsidR="00C261E0">
          <w:rPr>
            <w:rFonts w:ascii="Times New Roman" w:hAnsi="Times New Roman" w:cs="Times New Roman"/>
            <w:noProof/>
            <w:sz w:val="24"/>
            <w:szCs w:val="24"/>
          </w:rPr>
          <w:t>1</w:t>
        </w:r>
        <w:r w:rsidRPr="000503AE">
          <w:rPr>
            <w:rFonts w:ascii="Times New Roman" w:hAnsi="Times New Roman" w:cs="Times New Roman"/>
            <w:sz w:val="24"/>
            <w:szCs w:val="24"/>
          </w:rPr>
          <w:fldChar w:fldCharType="end"/>
        </w:r>
      </w:p>
    </w:sdtContent>
  </w:sdt>
  <w:p w:rsidR="000503AE" w:rsidRDefault="000503A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savePreviewPicture/>
  <w:footnotePr>
    <w:footnote w:id="0"/>
    <w:footnote w:id="1"/>
  </w:footnotePr>
  <w:endnotePr>
    <w:endnote w:id="0"/>
    <w:endnote w:id="1"/>
  </w:endnotePr>
  <w:compat/>
  <w:rsids>
    <w:rsidRoot w:val="00B55668"/>
    <w:rsid w:val="000503AE"/>
    <w:rsid w:val="000A0BCF"/>
    <w:rsid w:val="00334AAC"/>
    <w:rsid w:val="00464FFF"/>
    <w:rsid w:val="00B55668"/>
    <w:rsid w:val="00C261E0"/>
    <w:rsid w:val="00D71D70"/>
    <w:rsid w:val="00E9292E"/>
    <w:rsid w:val="00EC6BB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B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03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03AE"/>
  </w:style>
  <w:style w:type="paragraph" w:styleId="Footer">
    <w:name w:val="footer"/>
    <w:basedOn w:val="Normal"/>
    <w:link w:val="FooterChar"/>
    <w:uiPriority w:val="99"/>
    <w:semiHidden/>
    <w:unhideWhenUsed/>
    <w:rsid w:val="000503A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503AE"/>
  </w:style>
</w:styles>
</file>

<file path=word/webSettings.xml><?xml version="1.0" encoding="utf-8"?>
<w:webSettings xmlns:r="http://schemas.openxmlformats.org/officeDocument/2006/relationships" xmlns:w="http://schemas.openxmlformats.org/wordprocessingml/2006/main">
  <w:divs>
    <w:div w:id="1980258567">
      <w:bodyDiv w:val="1"/>
      <w:marLeft w:val="0"/>
      <w:marRight w:val="0"/>
      <w:marTop w:val="0"/>
      <w:marBottom w:val="0"/>
      <w:divBdr>
        <w:top w:val="none" w:sz="0" w:space="0" w:color="auto"/>
        <w:left w:val="none" w:sz="0" w:space="0" w:color="auto"/>
        <w:bottom w:val="none" w:sz="0" w:space="0" w:color="auto"/>
        <w:right w:val="none" w:sz="0" w:space="0" w:color="auto"/>
      </w:divBdr>
      <w:divsChild>
        <w:div w:id="1308513787">
          <w:marLeft w:val="-204"/>
          <w:marRight w:val="-204"/>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3</Pages>
  <Words>360</Words>
  <Characters>2054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2019-02-02T14:46:00Z</dcterms:created>
  <dcterms:modified xsi:type="dcterms:W3CDTF">2019-02-02T15:51:00Z</dcterms:modified>
</cp:coreProperties>
</file>